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sz w:val="24"/>
        </w:rPr>
      </w:pPr>
      <w:r>
        <w:rPr>
          <w:rFonts w:hint="default" w:ascii="Times New Roman" w:hAnsi="Times New Roman" w:cs="Times New Roman"/>
          <w:b/>
          <w:sz w:val="24"/>
        </w:rPr>
        <w:t>职业卫生技术报告网上公示单</w:t>
      </w:r>
    </w:p>
    <w:tbl>
      <w:tblPr>
        <w:tblStyle w:val="16"/>
        <w:tblW w:w="50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1" w:type="dxa"/>
          <w:left w:w="51" w:type="dxa"/>
          <w:bottom w:w="51" w:type="dxa"/>
          <w:right w:w="51" w:type="dxa"/>
        </w:tblCellMar>
      </w:tblPr>
      <w:tblGrid>
        <w:gridCol w:w="1176"/>
        <w:gridCol w:w="1749"/>
        <w:gridCol w:w="1518"/>
        <w:gridCol w:w="601"/>
        <w:gridCol w:w="1230"/>
        <w:gridCol w:w="675"/>
        <w:gridCol w:w="334"/>
        <w:gridCol w:w="2037"/>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用人单位</w:t>
            </w:r>
          </w:p>
        </w:tc>
        <w:tc>
          <w:tcPr>
            <w:tcW w:w="3267" w:type="dxa"/>
            <w:gridSpan w:val="2"/>
            <w:noWrap w:val="0"/>
            <w:vAlign w:val="center"/>
          </w:tcPr>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济宁明升新材料有限公司</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联系人</w:t>
            </w:r>
          </w:p>
        </w:tc>
        <w:tc>
          <w:tcPr>
            <w:tcW w:w="1633" w:type="pct"/>
            <w:gridSpan w:val="3"/>
            <w:noWrap w:val="0"/>
            <w:vAlign w:val="center"/>
          </w:tcPr>
          <w:p>
            <w:pPr>
              <w:spacing w:line="240" w:lineRule="exact"/>
              <w:jc w:val="center"/>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徐经理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3267" w:type="dxa"/>
            <w:gridSpan w:val="2"/>
            <w:noWrap w:val="0"/>
            <w:vAlign w:val="center"/>
          </w:tcPr>
          <w:p>
            <w:pPr>
              <w:jc w:val="center"/>
              <w:rPr>
                <w:rFonts w:hint="eastAsia"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建设地址</w:t>
            </w:r>
          </w:p>
        </w:tc>
        <w:tc>
          <w:tcPr>
            <w:tcW w:w="1633" w:type="pct"/>
            <w:gridSpan w:val="3"/>
            <w:noWrap w:val="0"/>
            <w:vAlign w:val="center"/>
          </w:tcPr>
          <w:p>
            <w:pPr>
              <w:rPr>
                <w:rFonts w:hint="default" w:ascii="Times New Roman" w:hAnsi="Times New Roman" w:cs="Times New Roman"/>
                <w:color w:val="000000"/>
                <w:kern w:val="0"/>
                <w:szCs w:val="21"/>
              </w:rPr>
            </w:pPr>
            <w:r>
              <w:rPr>
                <w:rFonts w:hint="eastAsia"/>
                <w:highlight w:val="none"/>
                <w:lang w:val="en-US" w:eastAsia="zh-CN"/>
              </w:rPr>
              <w:t>济宁市兖州区兴隆庄镇工业园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类别</w:t>
            </w:r>
          </w:p>
        </w:tc>
        <w:tc>
          <w:tcPr>
            <w:tcW w:w="4368" w:type="pct"/>
            <w:gridSpan w:val="7"/>
            <w:noWrap w:val="0"/>
            <w:vAlign w:val="center"/>
          </w:tcPr>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职业病危害预评价</w:t>
            </w:r>
            <w:r>
              <w:rPr>
                <w:rFonts w:hint="default" w:ascii="Times New Roman" w:hAnsi="Times New Roman" w:cs="Times New Roman"/>
                <w:szCs w:val="21"/>
              </w:rPr>
              <w:sym w:font="Wingdings 2" w:char="00A3"/>
            </w:r>
            <w:r>
              <w:rPr>
                <w:rFonts w:hint="default" w:ascii="Times New Roman" w:hAnsi="Times New Roman" w:cs="Times New Roman"/>
                <w:szCs w:val="21"/>
              </w:rPr>
              <w:t xml:space="preserve">          职业病防护设施设计专篇□</w:t>
            </w:r>
          </w:p>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职业病危害控制效果评价□    职业病危害现状评价□</w:t>
            </w:r>
          </w:p>
          <w:p>
            <w:pPr>
              <w:spacing w:line="240" w:lineRule="exact"/>
              <w:jc w:val="left"/>
              <w:rPr>
                <w:rFonts w:hint="default" w:ascii="Times New Roman" w:hAnsi="Times New Roman" w:cs="Times New Roman"/>
                <w:szCs w:val="21"/>
                <w:u w:val="single"/>
              </w:rPr>
            </w:pPr>
            <w:r>
              <w:rPr>
                <w:rFonts w:hint="default" w:ascii="Times New Roman" w:hAnsi="Times New Roman" w:cs="Times New Roman"/>
                <w:szCs w:val="21"/>
              </w:rPr>
              <w:t>检测评价□                  其它 □</w:t>
            </w:r>
            <w:r>
              <w:rPr>
                <w:rFonts w:hint="default" w:ascii="Times New Roman" w:hAnsi="Times New Roman" w:cs="Times New Roman"/>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项目简介</w:t>
            </w:r>
          </w:p>
        </w:tc>
        <w:tc>
          <w:tcPr>
            <w:tcW w:w="4368" w:type="pct"/>
            <w:gridSpan w:val="7"/>
            <w:noWrap w:val="0"/>
            <w:vAlign w:val="center"/>
          </w:tcPr>
          <w:p>
            <w:pPr>
              <w:spacing w:line="240" w:lineRule="auto"/>
              <w:ind w:left="0" w:leftChars="0" w:firstLine="0" w:firstLineChars="0"/>
              <w:jc w:val="left"/>
              <w:rPr>
                <w:rFonts w:hint="default"/>
                <w:lang w:val="en-US" w:eastAsia="zh-CN"/>
              </w:rPr>
            </w:pPr>
            <w:r>
              <w:rPr>
                <w:rFonts w:hint="default"/>
                <w:lang w:val="en-US" w:eastAsia="zh-CN"/>
              </w:rPr>
              <w:t>用人单位：</w:t>
            </w:r>
            <w:r>
              <w:rPr>
                <w:rFonts w:hint="default"/>
                <w:lang w:eastAsia="zh-CN"/>
              </w:rPr>
              <w:t>济宁明升新材料有限公司</w:t>
            </w:r>
          </w:p>
          <w:p>
            <w:pPr>
              <w:spacing w:line="240" w:lineRule="auto"/>
              <w:ind w:left="0" w:leftChars="0" w:firstLine="0" w:firstLineChars="0"/>
              <w:jc w:val="left"/>
              <w:rPr>
                <w:rFonts w:hint="default"/>
                <w:lang w:val="en-US" w:eastAsia="zh-CN"/>
              </w:rPr>
            </w:pPr>
            <w:r>
              <w:rPr>
                <w:rFonts w:hint="default"/>
                <w:lang w:val="en-US" w:eastAsia="zh-CN"/>
              </w:rPr>
              <w:t>注册资本：</w:t>
            </w:r>
            <w:r>
              <w:rPr>
                <w:rFonts w:hint="default"/>
                <w:lang w:eastAsia="zh-CN"/>
              </w:rPr>
              <w:t>1,000万(元)</w:t>
            </w:r>
          </w:p>
          <w:p>
            <w:pPr>
              <w:spacing w:line="240" w:lineRule="auto"/>
              <w:ind w:left="0" w:leftChars="0" w:firstLine="0" w:firstLineChars="0"/>
              <w:jc w:val="left"/>
              <w:rPr>
                <w:rFonts w:hint="default"/>
                <w:lang w:val="en-US" w:eastAsia="zh-CN"/>
              </w:rPr>
            </w:pPr>
            <w:r>
              <w:rPr>
                <w:rFonts w:hint="default"/>
                <w:lang w:val="en-US" w:eastAsia="zh-CN"/>
              </w:rPr>
              <w:t>类型：</w:t>
            </w:r>
            <w:r>
              <w:rPr>
                <w:rFonts w:hint="default"/>
                <w:lang w:eastAsia="zh-CN"/>
              </w:rPr>
              <w:t>有限责任公司(自然人投资或控股的法人独资)</w:t>
            </w:r>
          </w:p>
          <w:p>
            <w:pPr>
              <w:spacing w:line="240" w:lineRule="auto"/>
              <w:ind w:left="0" w:leftChars="0" w:firstLine="0" w:firstLineChars="0"/>
              <w:jc w:val="left"/>
              <w:rPr>
                <w:rFonts w:hint="default"/>
                <w:lang w:val="en-US" w:eastAsia="zh-CN"/>
              </w:rPr>
            </w:pPr>
            <w:r>
              <w:rPr>
                <w:rFonts w:hint="default"/>
                <w:lang w:val="en-US" w:eastAsia="zh-CN"/>
              </w:rPr>
              <w:t>成立日期：2009年02月18日</w:t>
            </w:r>
          </w:p>
          <w:p>
            <w:pPr>
              <w:spacing w:line="240" w:lineRule="auto"/>
              <w:ind w:left="0" w:leftChars="0" w:firstLine="0" w:firstLineChars="0"/>
              <w:jc w:val="left"/>
              <w:rPr>
                <w:rFonts w:hint="default"/>
                <w:lang w:val="en-US" w:eastAsia="zh-CN"/>
              </w:rPr>
            </w:pPr>
            <w:r>
              <w:rPr>
                <w:rFonts w:hint="default"/>
                <w:lang w:val="en-US" w:eastAsia="zh-CN"/>
              </w:rPr>
              <w:t>法定代表人：刘晓运</w:t>
            </w:r>
          </w:p>
          <w:p>
            <w:pPr>
              <w:spacing w:line="240" w:lineRule="auto"/>
              <w:ind w:left="0" w:leftChars="0" w:firstLine="0" w:firstLineChars="0"/>
              <w:jc w:val="left"/>
              <w:rPr>
                <w:rFonts w:hint="default"/>
                <w:lang w:val="en-US" w:eastAsia="zh-CN"/>
              </w:rPr>
            </w:pPr>
            <w:r>
              <w:rPr>
                <w:rFonts w:hint="default"/>
                <w:lang w:eastAsia="zh-CN"/>
              </w:rPr>
              <w:t>注册地址</w:t>
            </w:r>
            <w:r>
              <w:rPr>
                <w:rFonts w:hint="default"/>
                <w:lang w:val="en-US" w:eastAsia="zh-CN"/>
              </w:rPr>
              <w:t>：济宁市兖州区兴隆庄镇工业园</w:t>
            </w:r>
          </w:p>
          <w:p>
            <w:pPr>
              <w:spacing w:line="240" w:lineRule="auto"/>
              <w:ind w:left="0" w:leftChars="0" w:firstLine="0" w:firstLineChars="0"/>
              <w:jc w:val="left"/>
              <w:rPr>
                <w:rFonts w:hint="default"/>
                <w:lang w:eastAsia="zh-CN"/>
              </w:rPr>
            </w:pPr>
            <w:r>
              <w:rPr>
                <w:rFonts w:hint="default"/>
                <w:lang w:val="en-US" w:eastAsia="zh-CN"/>
              </w:rPr>
              <w:t>经营范围：</w:t>
            </w:r>
            <w:r>
              <w:rPr>
                <w:rFonts w:hint="default"/>
                <w:lang w:eastAsia="zh-CN"/>
              </w:rPr>
              <w:t>一般项目：专用化学产品制造（不含危险化学品）；新材料技术研发；化工产品销售（不含许可类化工产品）；生物基材料制造；生物基材料销售；生物基材料技术研发；生物基材料聚合技术研发；资源再生利用技术研发；技术服务、技术开发、技术咨询、技术交流、技术转让、技术推广；非金属矿及制品销售；国内贸易代理；技术进出口；货物进出口。（除依法须经批准的项目外，凭营业执照依法自主开展经营活动）。</w:t>
            </w:r>
          </w:p>
          <w:p>
            <w:pPr>
              <w:spacing w:line="240" w:lineRule="auto"/>
              <w:ind w:left="0" w:leftChars="0" w:firstLine="0" w:firstLineChars="0"/>
              <w:jc w:val="left"/>
              <w:rPr>
                <w:rFonts w:hint="default"/>
                <w:lang w:eastAsia="zh-CN"/>
              </w:rPr>
            </w:pPr>
            <w:r>
              <w:rPr>
                <w:rFonts w:hint="default"/>
                <w:lang w:val="en-US" w:eastAsia="zh-CN"/>
              </w:rPr>
              <w:t>生产规模：</w:t>
            </w:r>
            <w:r>
              <w:rPr>
                <w:rFonts w:hint="default"/>
                <w:lang w:eastAsia="zh-CN"/>
              </w:rPr>
              <w:t>5万吨/年丙苯乳胶生产装置、5万吨/年丁苯乳胶生产装置。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报告编号</w:t>
            </w:r>
          </w:p>
        </w:tc>
        <w:tc>
          <w:tcPr>
            <w:tcW w:w="1752" w:type="pct"/>
            <w:gridSpan w:val="2"/>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SDAYX</w:t>
            </w:r>
            <w:r>
              <w:rPr>
                <w:rFonts w:hint="default" w:ascii="Times New Roman" w:hAnsi="Times New Roman" w:eastAsia="宋体" w:cs="Times New Roman"/>
                <w:szCs w:val="21"/>
              </w:rPr>
              <w:t>P202</w:t>
            </w:r>
            <w:r>
              <w:rPr>
                <w:rFonts w:hint="eastAsia" w:cs="Times New Roman"/>
                <w:szCs w:val="21"/>
                <w:lang w:val="en-US" w:eastAsia="zh-CN"/>
              </w:rPr>
              <w:t>4</w:t>
            </w:r>
            <w:r>
              <w:rPr>
                <w:rFonts w:hint="default" w:ascii="Times New Roman" w:hAnsi="Times New Roman" w:eastAsia="宋体" w:cs="Times New Roman"/>
                <w:szCs w:val="21"/>
              </w:rPr>
              <w:t>-0</w:t>
            </w:r>
            <w:r>
              <w:rPr>
                <w:rFonts w:hint="eastAsia" w:cs="Times New Roman"/>
                <w:szCs w:val="21"/>
                <w:lang w:val="en-US" w:eastAsia="zh-CN"/>
              </w:rPr>
              <w:t>04</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报告时间</w:t>
            </w:r>
          </w:p>
        </w:tc>
        <w:tc>
          <w:tcPr>
            <w:tcW w:w="1633" w:type="pct"/>
            <w:gridSpan w:val="3"/>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tcBorders>
              <w:tl2br w:val="single" w:color="auto" w:sz="4" w:space="0"/>
            </w:tcBorders>
            <w:noWrap w:val="0"/>
            <w:vAlign w:val="center"/>
          </w:tcPr>
          <w:p>
            <w:pPr>
              <w:spacing w:line="240" w:lineRule="exact"/>
              <w:jc w:val="center"/>
              <w:rPr>
                <w:rFonts w:hint="default" w:ascii="Times New Roman" w:hAnsi="Times New Roman" w:cs="Times New Roman"/>
                <w:szCs w:val="21"/>
              </w:rPr>
            </w:pPr>
          </w:p>
        </w:tc>
        <w:tc>
          <w:tcPr>
            <w:tcW w:w="938"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类别</w:t>
            </w:r>
          </w:p>
        </w:tc>
        <w:tc>
          <w:tcPr>
            <w:tcW w:w="814"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姓名</w:t>
            </w:r>
          </w:p>
        </w:tc>
        <w:tc>
          <w:tcPr>
            <w:tcW w:w="982" w:type="pct"/>
            <w:gridSpan w:val="2"/>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技术职务</w:t>
            </w:r>
          </w:p>
        </w:tc>
        <w:tc>
          <w:tcPr>
            <w:tcW w:w="1633" w:type="pct"/>
            <w:gridSpan w:val="3"/>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资质证书号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项目组</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人员名单</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编写人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eastAsia="zh-CN"/>
              </w:rPr>
              <w:t>王翠翠</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鲁P2021</w:t>
            </w:r>
            <w:r>
              <w:rPr>
                <w:rFonts w:hint="eastAsia" w:ascii="Times New Roman" w:hAnsi="Times New Roman" w:eastAsia="宋体" w:cs="Times New Roman"/>
                <w:szCs w:val="21"/>
                <w:lang w:val="en-US" w:eastAsia="zh-CN"/>
              </w:rPr>
              <w:t>0467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刘慧丽</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鲁J20210227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eastAsia" w:cs="Times New Roman"/>
                <w:szCs w:val="21"/>
                <w:lang w:val="en-US" w:eastAsia="zh-CN"/>
              </w:rPr>
              <w:t>冯书昊</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鲁</w:t>
            </w:r>
            <w:r>
              <w:rPr>
                <w:rFonts w:hint="eastAsia" w:ascii="Times New Roman" w:hAnsi="Times New Roman" w:eastAsia="宋体" w:cs="Times New Roman"/>
                <w:szCs w:val="21"/>
                <w:lang w:val="en-US" w:eastAsia="zh-CN"/>
              </w:rPr>
              <w:t>J20210460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梁长平</w:t>
            </w:r>
          </w:p>
        </w:tc>
        <w:tc>
          <w:tcPr>
            <w:tcW w:w="982" w:type="pct"/>
            <w:gridSpan w:val="2"/>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w:t>
            </w:r>
          </w:p>
        </w:tc>
        <w:tc>
          <w:tcPr>
            <w:tcW w:w="1633" w:type="pct"/>
            <w:gridSpan w:val="3"/>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鲁P20210223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审核人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刘庆和</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鲁</w:t>
            </w:r>
            <w:r>
              <w:rPr>
                <w:rFonts w:hint="default" w:ascii="Times New Roman" w:hAnsi="Times New Roman" w:eastAsia="宋体" w:cs="Times New Roman"/>
                <w:szCs w:val="21"/>
                <w:lang w:val="en-US" w:eastAsia="zh-CN"/>
              </w:rPr>
              <w:t>P20210218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签发人</w:t>
            </w: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张帅</w:t>
            </w:r>
          </w:p>
        </w:tc>
        <w:tc>
          <w:tcPr>
            <w:tcW w:w="982" w:type="pct"/>
            <w:gridSpan w:val="2"/>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c>
          <w:tcPr>
            <w:tcW w:w="1633" w:type="pct"/>
            <w:gridSpan w:val="3"/>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现场调查</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调查人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显著标志物前照片</w:t>
            </w:r>
          </w:p>
        </w:tc>
        <w:tc>
          <w:tcPr>
            <w:tcW w:w="2294" w:type="pct"/>
            <w:gridSpan w:val="5"/>
            <w:vMerge w:val="restart"/>
            <w:noWrap w:val="0"/>
            <w:vAlign w:val="center"/>
          </w:tcPr>
          <w:p>
            <w:pPr>
              <w:spacing w:line="240" w:lineRule="auto"/>
              <w:jc w:val="center"/>
              <w:rPr>
                <w:rFonts w:hint="default" w:ascii="Times New Roman" w:hAnsi="Times New Roman" w:eastAsia="宋体" w:cs="Times New Roman"/>
                <w:szCs w:val="21"/>
                <w:lang w:eastAsia="zh-CN"/>
              </w:rPr>
            </w:pPr>
            <w:r>
              <w:drawing>
                <wp:inline distT="0" distB="0" distL="114300" distR="114300">
                  <wp:extent cx="1305560" cy="1384300"/>
                  <wp:effectExtent l="0" t="0" r="508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1305560" cy="13843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徐经理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05</w:t>
            </w:r>
            <w:r>
              <w:rPr>
                <w:rFonts w:hint="default" w:ascii="Times New Roman" w:hAnsi="Times New Roman" w:cs="Times New Roman"/>
                <w:szCs w:val="21"/>
                <w:lang w:val="en-US" w:eastAsia="zh-CN"/>
              </w:rPr>
              <w:t>.</w:t>
            </w:r>
            <w:r>
              <w:rPr>
                <w:rFonts w:hint="eastAsia" w:cs="Times New Roman"/>
                <w:szCs w:val="21"/>
                <w:lang w:val="en-US" w:eastAsia="zh-CN"/>
              </w:rPr>
              <w:t>30</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现场检</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测采样</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检测采样人</w:t>
            </w: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工作照片</w:t>
            </w:r>
          </w:p>
        </w:tc>
        <w:tc>
          <w:tcPr>
            <w:tcW w:w="1021" w:type="pct"/>
            <w:gridSpan w:val="2"/>
            <w:vMerge w:val="restart"/>
            <w:noWrap w:val="0"/>
            <w:vAlign w:val="center"/>
          </w:tcPr>
          <w:p>
            <w:pPr>
              <w:adjustRightInd w:val="0"/>
              <w:snapToGrid w:val="0"/>
              <w:spacing w:line="240" w:lineRule="auto"/>
              <w:jc w:val="center"/>
              <w:rPr>
                <w:rFonts w:hint="default" w:ascii="Times New Roman" w:hAnsi="Times New Roman" w:cs="Times New Roman"/>
                <w:szCs w:val="21"/>
              </w:rPr>
            </w:pPr>
            <w:bookmarkStart w:id="0" w:name="_GoBack"/>
            <w:r>
              <w:drawing>
                <wp:inline distT="0" distB="0" distL="114300" distR="114300">
                  <wp:extent cx="1010920" cy="1239520"/>
                  <wp:effectExtent l="0" t="0" r="1016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010920" cy="1239520"/>
                          </a:xfrm>
                          <a:prstGeom prst="rect">
                            <a:avLst/>
                          </a:prstGeom>
                          <a:noFill/>
                          <a:ln>
                            <a:noFill/>
                          </a:ln>
                        </pic:spPr>
                      </pic:pic>
                    </a:graphicData>
                  </a:graphic>
                </wp:inline>
              </w:drawing>
            </w:r>
            <w:bookmarkEnd w:id="0"/>
          </w:p>
        </w:tc>
        <w:tc>
          <w:tcPr>
            <w:tcW w:w="179" w:type="pct"/>
            <w:vMerge w:val="restart"/>
            <w:noWrap w:val="0"/>
            <w:vAlign w:val="center"/>
          </w:tcPr>
          <w:p>
            <w:pPr>
              <w:spacing w:line="240" w:lineRule="exact"/>
              <w:jc w:val="center"/>
              <w:rPr>
                <w:rFonts w:hint="default" w:ascii="Times New Roman" w:hAnsi="Times New Roman" w:cs="Times New Roman"/>
                <w:b/>
                <w:szCs w:val="21"/>
              </w:rPr>
            </w:pPr>
          </w:p>
        </w:tc>
        <w:tc>
          <w:tcPr>
            <w:tcW w:w="1093" w:type="pct"/>
            <w:gridSpan w:val="2"/>
            <w:vMerge w:val="restart"/>
            <w:noWrap w:val="0"/>
            <w:vAlign w:val="center"/>
          </w:tcPr>
          <w:p>
            <w:pPr>
              <w:spacing w:line="240" w:lineRule="auto"/>
              <w:jc w:val="center"/>
              <w:rPr>
                <w:rFonts w:hint="default" w:ascii="Times New Roman" w:hAnsi="Times New Roman" w:cs="Times New Roman"/>
                <w:szCs w:val="21"/>
              </w:rPr>
            </w:pPr>
            <w:r>
              <w:drawing>
                <wp:inline distT="0" distB="0" distL="114300" distR="114300">
                  <wp:extent cx="932815" cy="1059180"/>
                  <wp:effectExtent l="0" t="0" r="1206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932815" cy="10591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cs="Times New Roman"/>
                <w:szCs w:val="21"/>
              </w:rPr>
            </w:pPr>
            <w:r>
              <w:rPr>
                <w:rFonts w:hint="eastAsia" w:cs="Times New Roman"/>
                <w:szCs w:val="21"/>
                <w:lang w:val="en-US" w:eastAsia="zh-CN"/>
              </w:rPr>
              <w:t>徐经理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2024.06.</w:t>
            </w:r>
            <w:r>
              <w:rPr>
                <w:rFonts w:hint="eastAsia" w:cs="Times New Roman"/>
                <w:szCs w:val="21"/>
                <w:lang w:val="en-US" w:eastAsia="zh-CN"/>
              </w:rPr>
              <w:t>21</w:t>
            </w:r>
            <w:r>
              <w:rPr>
                <w:rFonts w:hint="default" w:ascii="Times New Roman" w:hAnsi="Times New Roman" w:cs="Times New Roman"/>
                <w:szCs w:val="21"/>
              </w:rPr>
              <w:t>-</w:t>
            </w:r>
            <w:r>
              <w:rPr>
                <w:rFonts w:hint="eastAsia" w:cs="Times New Roman"/>
                <w:szCs w:val="21"/>
                <w:lang w:val="en-US" w:eastAsia="zh-CN"/>
              </w:rPr>
              <w:t>23</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职业病危害因素及检测结果</w:t>
            </w:r>
          </w:p>
        </w:tc>
        <w:tc>
          <w:tcPr>
            <w:tcW w:w="938" w:type="pct"/>
            <w:noWrap w:val="0"/>
            <w:vAlign w:val="center"/>
          </w:tcPr>
          <w:p>
            <w:pPr>
              <w:adjustRightInd w:val="0"/>
              <w:snapToGrid w:val="0"/>
              <w:spacing w:line="240" w:lineRule="exact"/>
              <w:jc w:val="left"/>
              <w:rPr>
                <w:rFonts w:hint="default" w:ascii="Times New Roman" w:hAnsi="Times New Roman" w:cs="Times New Roman"/>
                <w:szCs w:val="21"/>
              </w:rPr>
            </w:pPr>
            <w:r>
              <w:rPr>
                <w:rFonts w:hint="default" w:ascii="Times New Roman" w:hAnsi="Times New Roman" w:cs="Times New Roman"/>
                <w:color w:val="000000"/>
                <w:kern w:val="0"/>
                <w:szCs w:val="21"/>
                <w:lang w:eastAsia="zh-CN"/>
              </w:rPr>
              <w:t>拟建</w:t>
            </w:r>
            <w:r>
              <w:rPr>
                <w:rFonts w:hint="default" w:ascii="Times New Roman" w:hAnsi="Times New Roman" w:cs="Times New Roman"/>
                <w:color w:val="000000"/>
                <w:kern w:val="0"/>
                <w:szCs w:val="21"/>
              </w:rPr>
              <w:t>项目生产过程中职业病危害因素</w:t>
            </w:r>
          </w:p>
        </w:tc>
        <w:tc>
          <w:tcPr>
            <w:tcW w:w="3430" w:type="pct"/>
            <w:gridSpan w:val="6"/>
            <w:noWrap w:val="0"/>
            <w:vAlign w:val="center"/>
          </w:tcPr>
          <w:p>
            <w:pPr>
              <w:pStyle w:val="5"/>
              <w:ind w:left="0" w:leftChars="0" w:firstLine="0" w:firstLineChars="0"/>
              <w:rPr>
                <w:rFonts w:hint="eastAsia"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lang w:val="en-US" w:eastAsia="zh-CN"/>
              </w:rPr>
              <w:t>（1）化学毒物：苯乙烯、丙烯酸、丙烯酸丁酯、过氧化氢、乙酸、硫酸、氢氧化钠、环氧氯丙烷、异丙醇、丙烯酰胺、丁二烯、氨、一氧化碳、锰及其化合物、氮氧化物、臭氧、盐酸、甲苯、甲醛、硫化氢等；</w:t>
            </w:r>
          </w:p>
          <w:p>
            <w:pPr>
              <w:pStyle w:val="5"/>
              <w:ind w:left="0" w:leftChars="0" w:firstLine="0" w:firstLineChars="0"/>
              <w:rPr>
                <w:rFonts w:hint="eastAsia"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lang w:val="en-US" w:eastAsia="zh-CN"/>
              </w:rPr>
              <w:t>（2）粉尘：电焊烟尘、其他粉尘（污泥粉尘）、谷物粉尘（淀粉粉尘）等；</w:t>
            </w:r>
          </w:p>
          <w:p>
            <w:pPr>
              <w:pStyle w:val="5"/>
              <w:ind w:left="0" w:leftChars="0" w:firstLine="0" w:firstLineChars="0"/>
              <w:rPr>
                <w:rFonts w:hint="eastAsia"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lang w:val="en-US" w:eastAsia="zh-CN"/>
              </w:rPr>
              <w:t>（3）物理因素：噪声、高温、紫外辐射、工频电场。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rPr>
                <w:rFonts w:hint="default" w:ascii="Times New Roman" w:hAnsi="Times New Roman" w:cs="Times New Roman"/>
                <w:color w:val="000000"/>
                <w:kern w:val="0"/>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color w:val="000000"/>
                <w:kern w:val="0"/>
                <w:szCs w:val="21"/>
              </w:rPr>
              <w:t>检测结果</w:t>
            </w:r>
          </w:p>
        </w:tc>
        <w:tc>
          <w:tcPr>
            <w:tcW w:w="3430" w:type="pct"/>
            <w:gridSpan w:val="6"/>
            <w:noWrap w:val="0"/>
            <w:vAlign w:val="center"/>
          </w:tcPr>
          <w:p>
            <w:pPr>
              <w:spacing w:line="240" w:lineRule="exact"/>
              <w:jc w:val="left"/>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符合相关标准规范要求。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评价结论</w:t>
            </w:r>
          </w:p>
        </w:tc>
        <w:tc>
          <w:tcPr>
            <w:tcW w:w="938"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职业病危害风险分类</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color w:val="000000"/>
                <w:kern w:val="0"/>
                <w:szCs w:val="21"/>
              </w:rPr>
              <w:t>按照《建设项目职业病危害风险分类管理目录》（国卫办职健发[2021]5号）规定，用人单位属于“职业病危害风险</w:t>
            </w:r>
            <w:r>
              <w:rPr>
                <w:rFonts w:hint="eastAsia"/>
                <w:color w:val="000000"/>
                <w:kern w:val="0"/>
                <w:szCs w:val="21"/>
                <w:lang w:val="en-US" w:eastAsia="zh-CN"/>
              </w:rPr>
              <w:t>严重</w:t>
            </w:r>
            <w:r>
              <w:rPr>
                <w:rFonts w:hint="eastAsia"/>
                <w:color w:val="000000"/>
                <w:kern w:val="0"/>
                <w:szCs w:val="21"/>
              </w:rPr>
              <w:t>”的项目。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jc w:val="center"/>
              <w:rPr>
                <w:rFonts w:hint="default" w:ascii="Times New Roman" w:hAnsi="Times New Roman" w:cs="Times New Roman"/>
                <w:color w:val="000000"/>
                <w:kern w:val="0"/>
                <w:szCs w:val="21"/>
              </w:rPr>
            </w:pPr>
          </w:p>
        </w:tc>
        <w:tc>
          <w:tcPr>
            <w:tcW w:w="938" w:type="pc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综合结论</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highlight w:val="none"/>
              </w:rPr>
              <w:t>该项目</w:t>
            </w:r>
            <w:r>
              <w:rPr>
                <w:highlight w:val="none"/>
              </w:rPr>
              <w:t>在生产过程中采取了防</w:t>
            </w:r>
            <w:r>
              <w:rPr>
                <w:rFonts w:hint="eastAsia"/>
                <w:highlight w:val="none"/>
              </w:rPr>
              <w:t>尘防毒、</w:t>
            </w:r>
            <w:r>
              <w:rPr>
                <w:highlight w:val="none"/>
              </w:rPr>
              <w:t>防噪声</w:t>
            </w:r>
            <w:r>
              <w:rPr>
                <w:rFonts w:hint="eastAsia"/>
                <w:highlight w:val="none"/>
              </w:rPr>
              <w:t>、防高温</w:t>
            </w:r>
            <w:r>
              <w:rPr>
                <w:highlight w:val="none"/>
              </w:rPr>
              <w:t>等职业病危害防护措施，各项职业病危害防护措施可行，职业病危害防护设施达到了一定的防护效果，本评价报告认为该</w:t>
            </w:r>
            <w:r>
              <w:rPr>
                <w:rFonts w:hint="eastAsia"/>
                <w:highlight w:val="none"/>
              </w:rPr>
              <w:t>项目职业病防护设施、职业健康监护、</w:t>
            </w:r>
            <w:r>
              <w:rPr>
                <w:highlight w:val="none"/>
              </w:rPr>
              <w:t>职业卫生管理方面还需要进一步完善。</w:t>
            </w:r>
            <w:r>
              <w:rPr>
                <w:rFonts w:hint="eastAsia"/>
                <w:highlight w:val="none"/>
              </w:rPr>
              <w:t>建设单位应</w:t>
            </w:r>
            <w:r>
              <w:rPr>
                <w:highlight w:val="none"/>
              </w:rPr>
              <w:t>根据本报告提出的建议进行整改，并提出相应的整改方案及完成期限，以达到保护职工健康的要求。</w:t>
            </w:r>
            <w:r>
              <w:rPr>
                <w:rFonts w:hint="eastAsia"/>
                <w:highlight w:val="none"/>
              </w:rPr>
              <w:t>建设单位</w:t>
            </w:r>
            <w:r>
              <w:rPr>
                <w:highlight w:val="none"/>
              </w:rPr>
              <w:t>按照本报告书的建议整改完善后将能满足国家和地方对职业病防治方面法律、法规、标准的要求，具备了职业病危害防护设施竣工验收条件，可以自行组织竣工验收。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1399" w:hRule="atLeast"/>
        </w:trPr>
        <w:tc>
          <w:tcPr>
            <w:tcW w:w="1569" w:type="pct"/>
            <w:gridSpan w:val="2"/>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技术审查专家组评审意见(需要评审的项目)</w:t>
            </w:r>
          </w:p>
        </w:tc>
        <w:tc>
          <w:tcPr>
            <w:tcW w:w="3430" w:type="pct"/>
            <w:gridSpan w:val="6"/>
            <w:noWrap w:val="0"/>
            <w:vAlign w:val="center"/>
          </w:tcPr>
          <w:p>
            <w:pPr>
              <w:spacing w:line="240" w:lineRule="exact"/>
              <w:jc w:val="left"/>
              <w:rPr>
                <w:rFonts w:hint="default"/>
                <w:lang w:val="en-US" w:eastAsia="zh-CN"/>
              </w:rPr>
            </w:pPr>
            <w:r>
              <w:rPr>
                <w:rFonts w:hint="eastAsia"/>
                <w:lang w:val="en-US" w:eastAsia="zh-CN"/>
              </w:rPr>
              <w:t>略</w:t>
            </w:r>
          </w:p>
        </w:tc>
      </w:tr>
    </w:tbl>
    <w:p/>
    <w:sectPr>
      <w:headerReference r:id="rId3" w:type="default"/>
      <w:pgSz w:w="11906" w:h="16838"/>
      <w:pgMar w:top="1440" w:right="1418" w:bottom="1440" w:left="1418" w:header="851" w:footer="992" w:gutter="0"/>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s>
  <wne:acds>
    <wne:acd wne:argValue="AQAAAAEA" wne:acdName="acd0" wne:fciIndexBasedOn="0065"/>
    <wne:acd wne:argValue="AQAAAAIA" wne:acdName="acd1" wne:fciIndexBasedOn="0065"/>
    <wne:acd wne:argValue="AQAAAAMA" wne:acdName="acd2" wne:fciIndexBasedOn="0065"/>
    <wne:acd wne:argValue="AQAAAAQA" wne:acdName="acd3"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jc w:val="right"/>
      <w:rPr>
        <w:rFonts w:ascii="宋体" w:hAnsi="宋体"/>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B0299"/>
    <w:multiLevelType w:val="multilevel"/>
    <w:tmpl w:val="8A4B0299"/>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tabs>
          <w:tab w:val="left" w:pos="420"/>
        </w:tabs>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M2E0YzliZDI5NzU2ZjQwNjNhMjU0NjU1Mzg1ZTYifQ=="/>
  </w:docVars>
  <w:rsids>
    <w:rsidRoot w:val="00000000"/>
    <w:rsid w:val="024719A2"/>
    <w:rsid w:val="079542DF"/>
    <w:rsid w:val="092A17B7"/>
    <w:rsid w:val="0AD640EA"/>
    <w:rsid w:val="0C7B342A"/>
    <w:rsid w:val="0CA40367"/>
    <w:rsid w:val="0D7511DD"/>
    <w:rsid w:val="10807227"/>
    <w:rsid w:val="1FD61EEC"/>
    <w:rsid w:val="262E1D88"/>
    <w:rsid w:val="29D650DE"/>
    <w:rsid w:val="2A2B1E61"/>
    <w:rsid w:val="31B0757F"/>
    <w:rsid w:val="34C95119"/>
    <w:rsid w:val="354A636D"/>
    <w:rsid w:val="37ED7682"/>
    <w:rsid w:val="3A5B434C"/>
    <w:rsid w:val="3AC8787B"/>
    <w:rsid w:val="3AE82B49"/>
    <w:rsid w:val="3BEF2215"/>
    <w:rsid w:val="3C1E370B"/>
    <w:rsid w:val="41B70517"/>
    <w:rsid w:val="4A831A26"/>
    <w:rsid w:val="4C2E1E3B"/>
    <w:rsid w:val="4EEB55E4"/>
    <w:rsid w:val="5BEA3918"/>
    <w:rsid w:val="5CA049BC"/>
    <w:rsid w:val="60880F76"/>
    <w:rsid w:val="6AEF6DCD"/>
    <w:rsid w:val="6BDC08C9"/>
    <w:rsid w:val="6C5F2048"/>
    <w:rsid w:val="6D2B0AF0"/>
    <w:rsid w:val="73745B2B"/>
    <w:rsid w:val="7D7C35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autoRedefine/>
    <w:qFormat/>
    <w:uiPriority w:val="0"/>
    <w:pPr>
      <w:keepNext/>
      <w:numPr>
        <w:ilvl w:val="0"/>
        <w:numId w:val="1"/>
      </w:numPr>
      <w:adjustRightInd w:val="0"/>
      <w:snapToGrid w:val="0"/>
      <w:spacing w:line="486" w:lineRule="exact"/>
      <w:ind w:left="432" w:hanging="432"/>
      <w:jc w:val="left"/>
      <w:outlineLvl w:val="0"/>
    </w:pPr>
    <w:rPr>
      <w:rFonts w:ascii="Times New Roman" w:hAnsi="Times New Roman" w:eastAsia="仿宋_GB2312"/>
      <w:b/>
      <w:sz w:val="28"/>
    </w:rPr>
  </w:style>
  <w:style w:type="paragraph" w:styleId="3">
    <w:name w:val="heading 2"/>
    <w:basedOn w:val="1"/>
    <w:next w:val="1"/>
    <w:link w:val="19"/>
    <w:autoRedefine/>
    <w:semiHidden/>
    <w:unhideWhenUsed/>
    <w:qFormat/>
    <w:uiPriority w:val="0"/>
    <w:pPr>
      <w:keepNext/>
      <w:keepLines/>
      <w:numPr>
        <w:ilvl w:val="1"/>
        <w:numId w:val="1"/>
      </w:numPr>
      <w:adjustRightInd w:val="0"/>
      <w:snapToGrid w:val="0"/>
      <w:spacing w:before="0" w:line="486" w:lineRule="exact"/>
      <w:jc w:val="left"/>
      <w:outlineLvl w:val="1"/>
    </w:pPr>
    <w:rPr>
      <w:rFonts w:ascii="仿宋" w:hAnsi="仿宋" w:eastAsia="仿宋_GB2312" w:cs="仿宋"/>
      <w:b/>
      <w:bCs/>
      <w:sz w:val="28"/>
    </w:rPr>
  </w:style>
  <w:style w:type="paragraph" w:styleId="4">
    <w:name w:val="heading 3"/>
    <w:basedOn w:val="1"/>
    <w:next w:val="5"/>
    <w:link w:val="20"/>
    <w:autoRedefine/>
    <w:semiHidden/>
    <w:unhideWhenUsed/>
    <w:qFormat/>
    <w:uiPriority w:val="0"/>
    <w:pPr>
      <w:keepNext/>
      <w:keepLines/>
      <w:numPr>
        <w:ilvl w:val="2"/>
        <w:numId w:val="1"/>
      </w:numPr>
      <w:tabs>
        <w:tab w:val="left" w:pos="420"/>
      </w:tabs>
      <w:spacing w:beforeLines="0" w:afterLines="0" w:line="490" w:lineRule="exact"/>
      <w:ind w:left="720" w:hanging="720"/>
      <w:jc w:val="left"/>
      <w:outlineLvl w:val="2"/>
    </w:pPr>
    <w:rPr>
      <w:rFonts w:ascii="Times New Roman" w:hAnsi="Times New Roman" w:eastAsia="仿宋_GB2312" w:cs="仿宋_GB2312"/>
      <w:b/>
      <w:bCs/>
      <w:snapToGrid w:val="0"/>
      <w:sz w:val="28"/>
      <w:szCs w:val="32"/>
    </w:rPr>
  </w:style>
  <w:style w:type="paragraph" w:styleId="6">
    <w:name w:val="heading 4"/>
    <w:basedOn w:val="1"/>
    <w:next w:val="1"/>
    <w:link w:val="21"/>
    <w:autoRedefine/>
    <w:semiHidden/>
    <w:unhideWhenUsed/>
    <w:qFormat/>
    <w:uiPriority w:val="0"/>
    <w:pPr>
      <w:keepNext/>
      <w:keepLines/>
      <w:numPr>
        <w:ilvl w:val="3"/>
        <w:numId w:val="1"/>
      </w:numPr>
      <w:tabs>
        <w:tab w:val="left" w:pos="420"/>
      </w:tabs>
      <w:spacing w:beforeLines="0" w:afterLines="0" w:line="490" w:lineRule="exact"/>
      <w:ind w:left="864" w:hanging="864"/>
      <w:jc w:val="left"/>
      <w:outlineLvl w:val="3"/>
    </w:pPr>
    <w:rPr>
      <w:rFonts w:ascii="Times New Roman" w:hAnsi="Times New Roman" w:eastAsia="仿宋_GB2312" w:cs="仿宋_GB2312"/>
      <w:b/>
      <w:bCs/>
      <w:snapToGrid w:val="0"/>
      <w:sz w:val="28"/>
      <w:szCs w:val="28"/>
    </w:rPr>
  </w:style>
  <w:style w:type="paragraph" w:styleId="7">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pPr>
  </w:style>
  <w:style w:type="paragraph" w:styleId="12">
    <w:name w:val="Body Text"/>
    <w:basedOn w:val="1"/>
    <w:unhideWhenUsed/>
    <w:qFormat/>
    <w:uiPriority w:val="1"/>
    <w:pPr>
      <w:spacing w:beforeLines="0" w:afterLines="0"/>
      <w:ind w:left="110"/>
    </w:pPr>
    <w:rPr>
      <w:rFonts w:hint="eastAsia" w:ascii="宋体" w:hAnsi="宋体" w:eastAsia="宋体"/>
      <w:sz w:val="30"/>
      <w:szCs w:val="24"/>
    </w:rPr>
  </w:style>
  <w:style w:type="paragraph" w:styleId="13">
    <w:name w:val="Body Text Indent"/>
    <w:basedOn w:val="1"/>
    <w:unhideWhenUsed/>
    <w:qFormat/>
    <w:uiPriority w:val="99"/>
    <w:pPr>
      <w:spacing w:after="120" w:afterLines="0" w:afterAutospacing="0"/>
      <w:ind w:left="420" w:leftChars="200"/>
    </w:p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First Indent 2"/>
    <w:basedOn w:val="13"/>
    <w:unhideWhenUsed/>
    <w:qFormat/>
    <w:uiPriority w:val="99"/>
    <w:pPr>
      <w:ind w:firstLine="420" w:firstLineChars="200"/>
    </w:pPr>
  </w:style>
  <w:style w:type="character" w:customStyle="1" w:styleId="18">
    <w:name w:val="标题 1 Char1"/>
    <w:link w:val="2"/>
    <w:autoRedefine/>
    <w:qFormat/>
    <w:uiPriority w:val="0"/>
    <w:rPr>
      <w:rFonts w:ascii="Times New Roman" w:hAnsi="Times New Roman" w:eastAsia="仿宋_GB2312" w:cs="仿宋_GB2312"/>
      <w:b/>
      <w:bCs/>
      <w:snapToGrid w:val="0"/>
      <w:sz w:val="28"/>
      <w:szCs w:val="28"/>
    </w:rPr>
  </w:style>
  <w:style w:type="character" w:customStyle="1" w:styleId="19">
    <w:name w:val="标题 2 Char1"/>
    <w:link w:val="3"/>
    <w:autoRedefine/>
    <w:qFormat/>
    <w:uiPriority w:val="9"/>
    <w:rPr>
      <w:rFonts w:ascii="仿宋" w:hAnsi="仿宋" w:eastAsia="仿宋_GB2312" w:cs="仿宋"/>
      <w:b/>
      <w:bCs/>
      <w:snapToGrid w:val="0"/>
      <w:kern w:val="0"/>
      <w:sz w:val="28"/>
      <w:szCs w:val="28"/>
    </w:rPr>
  </w:style>
  <w:style w:type="character" w:customStyle="1" w:styleId="20">
    <w:name w:val="标题 3 Char"/>
    <w:link w:val="4"/>
    <w:autoRedefine/>
    <w:qFormat/>
    <w:uiPriority w:val="0"/>
    <w:rPr>
      <w:rFonts w:ascii="Times New Roman" w:hAnsi="Times New Roman" w:eastAsia="仿宋_GB2312" w:cs="仿宋_GB2312"/>
      <w:b/>
      <w:bCs/>
      <w:snapToGrid w:val="0"/>
      <w:kern w:val="2"/>
      <w:sz w:val="28"/>
      <w:szCs w:val="32"/>
    </w:rPr>
  </w:style>
  <w:style w:type="character" w:customStyle="1" w:styleId="21">
    <w:name w:val="标题 4 Char"/>
    <w:link w:val="6"/>
    <w:autoRedefine/>
    <w:qFormat/>
    <w:uiPriority w:val="9"/>
    <w:rPr>
      <w:rFonts w:ascii="Times New Roman" w:hAnsi="Times New Roman" w:eastAsia="仿宋_GB2312" w:cs="仿宋_GB2312"/>
      <w:b/>
      <w:bCs/>
      <w:snapToGrid w:val="0"/>
      <w:kern w:val="2"/>
      <w:sz w:val="28"/>
      <w:szCs w:val="28"/>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790</Words>
  <Characters>894</Characters>
  <Lines>0</Lines>
  <Paragraphs>0</Paragraphs>
  <TotalTime>1</TotalTime>
  <ScaleCrop>false</ScaleCrop>
  <LinksUpToDate>false</LinksUpToDate>
  <CharactersWithSpaces>1021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2022-04-26T04:03:00Z</dcterms:created>
  <dc:creator>Administrator</dc:creator>
  <cp:lastModifiedBy>Administrator</cp:lastModifiedBy>
  <cp:lastPrinted>2024-08-05T06:55:00Z</cp:lastPrinted>
  <dcterms:modified xsi:type="dcterms:W3CDTF">2024-08-08T02:38:22Z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C0DFA9D84CED4B29BC1DAE769C90D2FF</vt:lpwstr>
  </property>
</Properties>
</file>